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2EDF" w14:textId="77777777" w:rsidR="006611B4" w:rsidRDefault="006611B4" w:rsidP="006611B4">
      <w:pPr>
        <w:pStyle w:val="NormalWeb"/>
      </w:pPr>
      <w:r>
        <w:rPr>
          <w:noProof/>
        </w:rPr>
        <w:drawing>
          <wp:anchor distT="0" distB="0" distL="114300" distR="114300" simplePos="0" relativeHeight="251660288" behindDoc="1" locked="0" layoutInCell="1" allowOverlap="1" wp14:anchorId="75B4C2F7" wp14:editId="551E9AD0">
            <wp:simplePos x="0" y="0"/>
            <wp:positionH relativeFrom="column">
              <wp:posOffset>3895725</wp:posOffset>
            </wp:positionH>
            <wp:positionV relativeFrom="paragraph">
              <wp:posOffset>263542</wp:posOffset>
            </wp:positionV>
            <wp:extent cx="2377440" cy="2377440"/>
            <wp:effectExtent l="0" t="0" r="0" b="0"/>
            <wp:wrapNone/>
            <wp:docPr id="1" name="Picture 1" descr="C:\Users\Rumaisa\Downloads\PHOTO-2024-06-09-21-07-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aisa\Downloads\PHOTO-2024-06-09-21-07-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5F8D4" w14:textId="77777777" w:rsidR="006611B4" w:rsidRDefault="006611B4" w:rsidP="006611B4">
      <w:pPr>
        <w:rPr>
          <w:rFonts w:cs="Arial"/>
          <w:b/>
          <w:bCs/>
          <w:color w:val="000000" w:themeColor="text1"/>
          <w:sz w:val="72"/>
          <w:szCs w:val="72"/>
        </w:rPr>
      </w:pPr>
    </w:p>
    <w:p w14:paraId="4B27B25C" w14:textId="77777777" w:rsidR="006611B4" w:rsidRDefault="006611B4" w:rsidP="006611B4">
      <w:pPr>
        <w:rPr>
          <w:rFonts w:cs="Arial"/>
          <w:b/>
          <w:bCs/>
          <w:color w:val="000000" w:themeColor="text1"/>
          <w:sz w:val="72"/>
          <w:szCs w:val="72"/>
        </w:rPr>
      </w:pPr>
    </w:p>
    <w:p w14:paraId="4CF248FD" w14:textId="77777777" w:rsidR="006611B4" w:rsidRDefault="006611B4" w:rsidP="006611B4">
      <w:pPr>
        <w:rPr>
          <w:rFonts w:cs="Arial"/>
          <w:b/>
          <w:bCs/>
          <w:color w:val="000000" w:themeColor="text1"/>
          <w:sz w:val="72"/>
          <w:szCs w:val="72"/>
        </w:rPr>
      </w:pPr>
    </w:p>
    <w:p w14:paraId="05E6FC63" w14:textId="5C8428D0" w:rsidR="006611B4" w:rsidRDefault="000876B8" w:rsidP="006611B4">
      <w:pPr>
        <w:rPr>
          <w:rFonts w:cs="Arial"/>
          <w:b/>
          <w:bCs/>
          <w:color w:val="000000" w:themeColor="text1"/>
          <w:sz w:val="72"/>
          <w:szCs w:val="72"/>
        </w:rPr>
      </w:pPr>
      <w:r>
        <w:rPr>
          <w:noProof/>
        </w:rPr>
        <mc:AlternateContent>
          <mc:Choice Requires="wps">
            <w:drawing>
              <wp:anchor distT="0" distB="0" distL="114300" distR="114300" simplePos="0" relativeHeight="251659264" behindDoc="0" locked="0" layoutInCell="1" allowOverlap="1" wp14:anchorId="37652785" wp14:editId="59639627">
                <wp:simplePos x="0" y="0"/>
                <wp:positionH relativeFrom="column">
                  <wp:posOffset>108585</wp:posOffset>
                </wp:positionH>
                <wp:positionV relativeFrom="paragraph">
                  <wp:posOffset>579120</wp:posOffset>
                </wp:positionV>
                <wp:extent cx="6185535" cy="61150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6115050"/>
                        </a:xfrm>
                        <a:prstGeom prst="rect">
                          <a:avLst/>
                        </a:prstGeom>
                        <a:noFill/>
                        <a:ln>
                          <a:noFill/>
                        </a:ln>
                      </wps:spPr>
                      <wps:txbx>
                        <w:txbxContent>
                          <w:p w14:paraId="6BAA7C9C" w14:textId="03564AB4" w:rsidR="006611B4" w:rsidRPr="006611B4" w:rsidRDefault="006611B4" w:rsidP="006611B4">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Pr>
                                <w:rFonts w:ascii="Arial Rounded MT Bold" w:hAnsi="Arial Rounded MT Bold"/>
                                <w:noProof/>
                                <w:color w:val="0F243E" w:themeColor="text2" w:themeShade="80"/>
                                <w:sz w:val="96"/>
                                <w:szCs w:val="96"/>
                              </w:rPr>
                              <w:t>VISITOR</w:t>
                            </w:r>
                          </w:p>
                          <w:p w14:paraId="067B5B0C" w14:textId="77777777" w:rsidR="006611B4" w:rsidRPr="006611B4" w:rsidRDefault="006611B4" w:rsidP="006611B4">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sidRPr="006611B4">
                              <w:rPr>
                                <w:rFonts w:ascii="Arial Rounded MT Bold" w:hAnsi="Arial Rounded MT Bold"/>
                                <w:noProof/>
                                <w:color w:val="0F243E" w:themeColor="text2" w:themeShade="80"/>
                                <w:sz w:val="96"/>
                                <w:szCs w:val="96"/>
                              </w:rPr>
                              <w:t>POLICY</w:t>
                            </w:r>
                          </w:p>
                          <w:p w14:paraId="45607DE7" w14:textId="77777777" w:rsidR="006611B4" w:rsidRDefault="006611B4" w:rsidP="006611B4">
                            <w:pPr>
                              <w:pStyle w:val="Title"/>
                              <w:widowControl w:val="0"/>
                              <w:pBdr>
                                <w:bottom w:val="single" w:sz="8" w:space="31" w:color="4F81BD" w:themeColor="accent1"/>
                              </w:pBdr>
                              <w:autoSpaceDE w:val="0"/>
                              <w:autoSpaceDN w:val="0"/>
                              <w:spacing w:before="4" w:after="0"/>
                              <w:rPr>
                                <w:b/>
                                <w:bCs/>
                              </w:rPr>
                            </w:pPr>
                          </w:p>
                          <w:p w14:paraId="21CAD6A5" w14:textId="4E9A59DF" w:rsidR="006611B4" w:rsidRPr="00CB3F1A" w:rsidRDefault="00E7443A" w:rsidP="006611B4">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0876B8">
                              <w:rPr>
                                <w:b/>
                                <w:bCs/>
                                <w:color w:val="1294AE"/>
                                <w:sz w:val="72"/>
                                <w:szCs w:val="72"/>
                              </w:rPr>
                              <w:t>6</w:t>
                            </w:r>
                            <w:r>
                              <w:rPr>
                                <w:b/>
                                <w:bCs/>
                                <w:color w:val="1294AE"/>
                                <w:sz w:val="72"/>
                                <w:szCs w:val="72"/>
                              </w:rPr>
                              <w:t>-202</w:t>
                            </w:r>
                            <w:r w:rsidR="000876B8">
                              <w:rPr>
                                <w:b/>
                                <w:bCs/>
                                <w:color w:val="1294AE"/>
                                <w:sz w:val="72"/>
                                <w:szCs w:val="72"/>
                              </w:rPr>
                              <w:t>7</w:t>
                            </w:r>
                          </w:p>
                          <w:p w14:paraId="7D99359B" w14:textId="77777777" w:rsidR="006611B4" w:rsidRDefault="006611B4" w:rsidP="006611B4">
                            <w:pPr>
                              <w:pStyle w:val="Title"/>
                              <w:widowControl w:val="0"/>
                              <w:pBdr>
                                <w:bottom w:val="single" w:sz="8" w:space="31" w:color="4F81BD" w:themeColor="accent1"/>
                              </w:pBdr>
                              <w:autoSpaceDE w:val="0"/>
                              <w:autoSpaceDN w:val="0"/>
                              <w:spacing w:before="4" w:after="0"/>
                              <w:rPr>
                                <w:b/>
                                <w:bCs/>
                              </w:rPr>
                            </w:pPr>
                          </w:p>
                          <w:p w14:paraId="79AA67F4"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962E42B" w14:textId="1DC2A7D6"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7854A2">
                              <w:rPr>
                                <w:b/>
                                <w:bCs/>
                                <w:sz w:val="36"/>
                                <w:szCs w:val="36"/>
                              </w:rPr>
                              <w:t xml:space="preserve"> – </w:t>
                            </w:r>
                            <w:r w:rsidR="000876B8">
                              <w:rPr>
                                <w:b/>
                                <w:bCs/>
                                <w:sz w:val="36"/>
                                <w:szCs w:val="36"/>
                              </w:rPr>
                              <w:t>June</w:t>
                            </w:r>
                            <w:r w:rsidR="007854A2">
                              <w:rPr>
                                <w:b/>
                                <w:bCs/>
                                <w:sz w:val="36"/>
                                <w:szCs w:val="36"/>
                              </w:rPr>
                              <w:t xml:space="preserve"> 202</w:t>
                            </w:r>
                            <w:r w:rsidR="000876B8">
                              <w:rPr>
                                <w:b/>
                                <w:bCs/>
                                <w:sz w:val="36"/>
                                <w:szCs w:val="36"/>
                              </w:rPr>
                              <w:t>6</w:t>
                            </w:r>
                          </w:p>
                          <w:p w14:paraId="01D80816" w14:textId="2C2DE75B" w:rsidR="006611B4"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1557B6">
                              <w:rPr>
                                <w:b/>
                                <w:bCs/>
                                <w:sz w:val="36"/>
                                <w:szCs w:val="36"/>
                              </w:rPr>
                              <w:t xml:space="preserve"> – Ju</w:t>
                            </w:r>
                            <w:r w:rsidR="000876B8">
                              <w:rPr>
                                <w:b/>
                                <w:bCs/>
                                <w:sz w:val="36"/>
                                <w:szCs w:val="36"/>
                              </w:rPr>
                              <w:t>ne</w:t>
                            </w:r>
                            <w:r w:rsidR="001557B6">
                              <w:rPr>
                                <w:b/>
                                <w:bCs/>
                                <w:sz w:val="36"/>
                                <w:szCs w:val="36"/>
                              </w:rPr>
                              <w:t xml:space="preserve"> 202</w:t>
                            </w:r>
                            <w:r w:rsidR="000876B8">
                              <w:rPr>
                                <w:b/>
                                <w:bCs/>
                                <w:sz w:val="36"/>
                                <w:szCs w:val="36"/>
                              </w:rPr>
                              <w:t>7</w:t>
                            </w:r>
                          </w:p>
                          <w:p w14:paraId="57BAEBE3"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38F850A3" w14:textId="77777777" w:rsidR="006611B4" w:rsidRPr="000662A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293A60A5"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52785" id="_x0000_t202" coordsize="21600,21600" o:spt="202" path="m,l,21600r21600,l21600,xe">
                <v:stroke joinstyle="miter"/>
                <v:path gradientshapeok="t" o:connecttype="rect"/>
              </v:shapetype>
              <v:shape id="Text Box 13" o:spid="_x0000_s1026" type="#_x0000_t202" style="position:absolute;margin-left:8.55pt;margin-top:45.6pt;width:487.05pt;height:4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" filled="f" stroked="f">
                <v:textbox>
                  <w:txbxContent>
                    <w:p w14:paraId="6BAA7C9C" w14:textId="03564AB4" w:rsidR="006611B4" w:rsidRPr="006611B4" w:rsidRDefault="006611B4" w:rsidP="006611B4">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Pr>
                          <w:rFonts w:ascii="Arial Rounded MT Bold" w:hAnsi="Arial Rounded MT Bold"/>
                          <w:noProof/>
                          <w:color w:val="0F243E" w:themeColor="text2" w:themeShade="80"/>
                          <w:sz w:val="96"/>
                          <w:szCs w:val="96"/>
                        </w:rPr>
                        <w:t>VISITOR</w:t>
                      </w:r>
                    </w:p>
                    <w:p w14:paraId="067B5B0C" w14:textId="77777777" w:rsidR="006611B4" w:rsidRPr="006611B4" w:rsidRDefault="006611B4" w:rsidP="006611B4">
                      <w:pPr>
                        <w:pStyle w:val="Title"/>
                        <w:widowControl w:val="0"/>
                        <w:pBdr>
                          <w:bottom w:val="single" w:sz="8" w:space="31" w:color="4F81BD" w:themeColor="accent1"/>
                        </w:pBdr>
                        <w:autoSpaceDE w:val="0"/>
                        <w:autoSpaceDN w:val="0"/>
                        <w:spacing w:before="4" w:after="0"/>
                        <w:rPr>
                          <w:rFonts w:ascii="Arial Rounded MT Bold" w:hAnsi="Arial Rounded MT Bold"/>
                          <w:noProof/>
                          <w:color w:val="0F243E" w:themeColor="text2" w:themeShade="80"/>
                          <w:sz w:val="96"/>
                          <w:szCs w:val="96"/>
                        </w:rPr>
                      </w:pPr>
                      <w:r w:rsidRPr="006611B4">
                        <w:rPr>
                          <w:rFonts w:ascii="Arial Rounded MT Bold" w:hAnsi="Arial Rounded MT Bold"/>
                          <w:noProof/>
                          <w:color w:val="0F243E" w:themeColor="text2" w:themeShade="80"/>
                          <w:sz w:val="96"/>
                          <w:szCs w:val="96"/>
                        </w:rPr>
                        <w:t>POLICY</w:t>
                      </w:r>
                    </w:p>
                    <w:p w14:paraId="45607DE7" w14:textId="77777777" w:rsidR="006611B4" w:rsidRDefault="006611B4" w:rsidP="006611B4">
                      <w:pPr>
                        <w:pStyle w:val="Title"/>
                        <w:widowControl w:val="0"/>
                        <w:pBdr>
                          <w:bottom w:val="single" w:sz="8" w:space="31" w:color="4F81BD" w:themeColor="accent1"/>
                        </w:pBdr>
                        <w:autoSpaceDE w:val="0"/>
                        <w:autoSpaceDN w:val="0"/>
                        <w:spacing w:before="4" w:after="0"/>
                        <w:rPr>
                          <w:b/>
                          <w:bCs/>
                        </w:rPr>
                      </w:pPr>
                    </w:p>
                    <w:p w14:paraId="21CAD6A5" w14:textId="4E9A59DF" w:rsidR="006611B4" w:rsidRPr="00CB3F1A" w:rsidRDefault="00E7443A" w:rsidP="006611B4">
                      <w:pPr>
                        <w:pStyle w:val="Title"/>
                        <w:widowControl w:val="0"/>
                        <w:pBdr>
                          <w:bottom w:val="single" w:sz="8" w:space="31" w:color="4F81BD" w:themeColor="accent1"/>
                        </w:pBdr>
                        <w:autoSpaceDE w:val="0"/>
                        <w:autoSpaceDN w:val="0"/>
                        <w:spacing w:before="4" w:after="0"/>
                        <w:rPr>
                          <w:b/>
                          <w:bCs/>
                          <w:color w:val="1294AE"/>
                          <w:sz w:val="72"/>
                          <w:szCs w:val="72"/>
                        </w:rPr>
                      </w:pPr>
                      <w:r>
                        <w:rPr>
                          <w:b/>
                          <w:bCs/>
                          <w:color w:val="1294AE"/>
                          <w:sz w:val="72"/>
                          <w:szCs w:val="72"/>
                        </w:rPr>
                        <w:t>202</w:t>
                      </w:r>
                      <w:r w:rsidR="000876B8">
                        <w:rPr>
                          <w:b/>
                          <w:bCs/>
                          <w:color w:val="1294AE"/>
                          <w:sz w:val="72"/>
                          <w:szCs w:val="72"/>
                        </w:rPr>
                        <w:t>6</w:t>
                      </w:r>
                      <w:r>
                        <w:rPr>
                          <w:b/>
                          <w:bCs/>
                          <w:color w:val="1294AE"/>
                          <w:sz w:val="72"/>
                          <w:szCs w:val="72"/>
                        </w:rPr>
                        <w:t>-202</w:t>
                      </w:r>
                      <w:r w:rsidR="000876B8">
                        <w:rPr>
                          <w:b/>
                          <w:bCs/>
                          <w:color w:val="1294AE"/>
                          <w:sz w:val="72"/>
                          <w:szCs w:val="72"/>
                        </w:rPr>
                        <w:t>7</w:t>
                      </w:r>
                    </w:p>
                    <w:p w14:paraId="7D99359B" w14:textId="77777777" w:rsidR="006611B4" w:rsidRDefault="006611B4" w:rsidP="006611B4">
                      <w:pPr>
                        <w:pStyle w:val="Title"/>
                        <w:widowControl w:val="0"/>
                        <w:pBdr>
                          <w:bottom w:val="single" w:sz="8" w:space="31" w:color="4F81BD" w:themeColor="accent1"/>
                        </w:pBdr>
                        <w:autoSpaceDE w:val="0"/>
                        <w:autoSpaceDN w:val="0"/>
                        <w:spacing w:before="4" w:after="0"/>
                        <w:rPr>
                          <w:b/>
                          <w:bCs/>
                        </w:rPr>
                      </w:pPr>
                    </w:p>
                    <w:p w14:paraId="79AA67F4"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This document has been approved for operation for - Islamiyah Girls High School</w:t>
                      </w:r>
                    </w:p>
                    <w:p w14:paraId="1962E42B" w14:textId="1DC2A7D6"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sidRPr="00160B1A">
                        <w:rPr>
                          <w:b/>
                          <w:bCs/>
                          <w:sz w:val="36"/>
                          <w:szCs w:val="36"/>
                        </w:rPr>
                        <w:t>Last Reviewed</w:t>
                      </w:r>
                      <w:r w:rsidR="007854A2">
                        <w:rPr>
                          <w:b/>
                          <w:bCs/>
                          <w:sz w:val="36"/>
                          <w:szCs w:val="36"/>
                        </w:rPr>
                        <w:t xml:space="preserve"> – </w:t>
                      </w:r>
                      <w:r w:rsidR="000876B8">
                        <w:rPr>
                          <w:b/>
                          <w:bCs/>
                          <w:sz w:val="36"/>
                          <w:szCs w:val="36"/>
                        </w:rPr>
                        <w:t>June</w:t>
                      </w:r>
                      <w:r w:rsidR="007854A2">
                        <w:rPr>
                          <w:b/>
                          <w:bCs/>
                          <w:sz w:val="36"/>
                          <w:szCs w:val="36"/>
                        </w:rPr>
                        <w:t xml:space="preserve"> 202</w:t>
                      </w:r>
                      <w:r w:rsidR="000876B8">
                        <w:rPr>
                          <w:b/>
                          <w:bCs/>
                          <w:sz w:val="36"/>
                          <w:szCs w:val="36"/>
                        </w:rPr>
                        <w:t>6</w:t>
                      </w:r>
                    </w:p>
                    <w:p w14:paraId="01D80816" w14:textId="2C2DE75B" w:rsidR="006611B4"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sidRPr="00160B1A">
                        <w:rPr>
                          <w:b/>
                          <w:bCs/>
                          <w:sz w:val="36"/>
                          <w:szCs w:val="36"/>
                        </w:rPr>
                        <w:t>Next review</w:t>
                      </w:r>
                      <w:r w:rsidR="001557B6">
                        <w:rPr>
                          <w:b/>
                          <w:bCs/>
                          <w:sz w:val="36"/>
                          <w:szCs w:val="36"/>
                        </w:rPr>
                        <w:t xml:space="preserve"> – Ju</w:t>
                      </w:r>
                      <w:r w:rsidR="000876B8">
                        <w:rPr>
                          <w:b/>
                          <w:bCs/>
                          <w:sz w:val="36"/>
                          <w:szCs w:val="36"/>
                        </w:rPr>
                        <w:t>ne</w:t>
                      </w:r>
                      <w:r w:rsidR="001557B6">
                        <w:rPr>
                          <w:b/>
                          <w:bCs/>
                          <w:sz w:val="36"/>
                          <w:szCs w:val="36"/>
                        </w:rPr>
                        <w:t xml:space="preserve"> 202</w:t>
                      </w:r>
                      <w:r w:rsidR="000876B8">
                        <w:rPr>
                          <w:b/>
                          <w:bCs/>
                          <w:sz w:val="36"/>
                          <w:szCs w:val="36"/>
                        </w:rPr>
                        <w:t>7</w:t>
                      </w:r>
                    </w:p>
                    <w:p w14:paraId="57BAEBE3"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Review Period – 1 Year</w:t>
                      </w:r>
                    </w:p>
                    <w:p w14:paraId="38F850A3" w14:textId="77777777" w:rsidR="006611B4" w:rsidRPr="000662A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Owner – Islamiyah Girls High School</w:t>
                      </w:r>
                    </w:p>
                    <w:p w14:paraId="293A60A5" w14:textId="77777777" w:rsidR="006611B4" w:rsidRPr="00160B1A" w:rsidRDefault="006611B4" w:rsidP="006611B4">
                      <w:pPr>
                        <w:pStyle w:val="Title"/>
                        <w:widowControl w:val="0"/>
                        <w:numPr>
                          <w:ilvl w:val="0"/>
                          <w:numId w:val="9"/>
                        </w:numPr>
                        <w:pBdr>
                          <w:bottom w:val="single" w:sz="8" w:space="31" w:color="4F81BD" w:themeColor="accent1"/>
                        </w:pBdr>
                        <w:autoSpaceDE w:val="0"/>
                        <w:autoSpaceDN w:val="0"/>
                        <w:spacing w:before="4" w:after="0"/>
                        <w:rPr>
                          <w:b/>
                          <w:bCs/>
                          <w:sz w:val="36"/>
                          <w:szCs w:val="36"/>
                        </w:rPr>
                      </w:pPr>
                      <w:r>
                        <w:rPr>
                          <w:b/>
                          <w:bCs/>
                          <w:sz w:val="36"/>
                          <w:szCs w:val="36"/>
                        </w:rPr>
                        <w:t>Approved B</w:t>
                      </w:r>
                      <w:r w:rsidRPr="00160B1A">
                        <w:rPr>
                          <w:b/>
                          <w:bCs/>
                          <w:sz w:val="36"/>
                          <w:szCs w:val="36"/>
                        </w:rPr>
                        <w:t>y</w:t>
                      </w:r>
                      <w:r>
                        <w:rPr>
                          <w:b/>
                          <w:bCs/>
                          <w:sz w:val="36"/>
                          <w:szCs w:val="36"/>
                        </w:rPr>
                        <w:t xml:space="preserve"> – Governing Body</w:t>
                      </w:r>
                    </w:p>
                  </w:txbxContent>
                </v:textbox>
              </v:shape>
            </w:pict>
          </mc:Fallback>
        </mc:AlternateContent>
      </w:r>
    </w:p>
    <w:p w14:paraId="096D19B7" w14:textId="77777777" w:rsidR="006611B4" w:rsidRDefault="006611B4" w:rsidP="006611B4">
      <w:pPr>
        <w:rPr>
          <w:rFonts w:cs="Arial"/>
          <w:b/>
          <w:bCs/>
          <w:color w:val="000000" w:themeColor="text1"/>
          <w:sz w:val="72"/>
          <w:szCs w:val="72"/>
        </w:rPr>
      </w:pPr>
    </w:p>
    <w:p w14:paraId="39803A5A" w14:textId="77777777" w:rsidR="006611B4" w:rsidRDefault="006611B4" w:rsidP="006611B4">
      <w:pPr>
        <w:rPr>
          <w:rFonts w:cs="Arial"/>
          <w:b/>
          <w:bCs/>
          <w:color w:val="000000" w:themeColor="text1"/>
          <w:sz w:val="72"/>
          <w:szCs w:val="72"/>
        </w:rPr>
      </w:pPr>
    </w:p>
    <w:p w14:paraId="074B635E" w14:textId="77777777" w:rsidR="006611B4" w:rsidRDefault="006611B4" w:rsidP="006611B4">
      <w:pPr>
        <w:rPr>
          <w:rFonts w:cs="Arial"/>
          <w:b/>
          <w:bCs/>
          <w:color w:val="000000" w:themeColor="text1"/>
          <w:sz w:val="72"/>
          <w:szCs w:val="72"/>
        </w:rPr>
      </w:pPr>
    </w:p>
    <w:p w14:paraId="722FCA5D" w14:textId="77777777" w:rsidR="006611B4" w:rsidRDefault="006611B4" w:rsidP="006611B4">
      <w:pPr>
        <w:rPr>
          <w:rFonts w:cs="Arial"/>
          <w:b/>
          <w:bCs/>
          <w:color w:val="000000" w:themeColor="text1"/>
          <w:sz w:val="72"/>
          <w:szCs w:val="72"/>
        </w:rPr>
      </w:pPr>
    </w:p>
    <w:p w14:paraId="2E733AFC" w14:textId="77777777" w:rsidR="006611B4" w:rsidRDefault="006611B4" w:rsidP="006611B4">
      <w:pPr>
        <w:rPr>
          <w:rFonts w:cs="Arial"/>
          <w:b/>
          <w:bCs/>
          <w:color w:val="000000" w:themeColor="text1"/>
          <w:sz w:val="72"/>
          <w:szCs w:val="72"/>
        </w:rPr>
      </w:pPr>
    </w:p>
    <w:p w14:paraId="15AAB04A" w14:textId="77777777" w:rsidR="006611B4" w:rsidRDefault="006611B4" w:rsidP="006611B4">
      <w:pPr>
        <w:rPr>
          <w:rFonts w:cs="Arial"/>
          <w:b/>
          <w:bCs/>
          <w:color w:val="000000" w:themeColor="text1"/>
          <w:sz w:val="72"/>
          <w:szCs w:val="72"/>
        </w:rPr>
      </w:pPr>
    </w:p>
    <w:p w14:paraId="67161976" w14:textId="7BAC4591" w:rsidR="00D20A15" w:rsidRDefault="00D20A15" w:rsidP="00A95EE2">
      <w:pPr>
        <w:spacing w:after="0"/>
        <w:rPr>
          <w:rFonts w:ascii="Perpetua" w:hAnsi="Perpetua" w:cs="Arial"/>
          <w:b/>
          <w:sz w:val="72"/>
          <w:szCs w:val="72"/>
          <w:lang w:eastAsia="en-GB"/>
        </w:rPr>
      </w:pPr>
    </w:p>
    <w:p w14:paraId="2E2371AC" w14:textId="0EBDBAC4" w:rsidR="00AF5CCB" w:rsidRDefault="00584A95" w:rsidP="00A95EE2">
      <w:pPr>
        <w:spacing w:after="0"/>
        <w:rPr>
          <w:rFonts w:ascii="Perpetua" w:hAnsi="Perpetua" w:cs="Arial"/>
          <w:b/>
          <w:sz w:val="72"/>
          <w:szCs w:val="72"/>
          <w:lang w:eastAsia="en-GB"/>
        </w:rPr>
      </w:pPr>
      <w:r w:rsidRPr="00AF5CCB">
        <w:rPr>
          <w:rFonts w:ascii="Perpetua" w:hAnsi="Perpetua" w:cs="Arial"/>
          <w:b/>
          <w:sz w:val="72"/>
          <w:szCs w:val="72"/>
          <w:lang w:eastAsia="en-GB"/>
        </w:rPr>
        <w:lastRenderedPageBreak/>
        <w:t>VISITOR POLICY</w:t>
      </w:r>
    </w:p>
    <w:p w14:paraId="325DD2B3" w14:textId="7AF8914D" w:rsidR="00685E90" w:rsidRPr="00584A95" w:rsidRDefault="00584A95" w:rsidP="00685E90">
      <w:pPr>
        <w:rPr>
          <w:rFonts w:ascii="Perpetua" w:hAnsi="Perpetua" w:cs="Arial"/>
          <w:b/>
          <w:sz w:val="20"/>
          <w:szCs w:val="20"/>
          <w:lang w:eastAsia="en-GB"/>
        </w:rPr>
      </w:pPr>
      <w:r w:rsidRPr="00584A95">
        <w:rPr>
          <w:rFonts w:ascii="Perpetua" w:hAnsi="Perpetua" w:cs="Arial"/>
          <w:b/>
          <w:sz w:val="20"/>
          <w:szCs w:val="20"/>
          <w:lang w:eastAsia="en-GB"/>
        </w:rPr>
        <w:t>THE AIMS OF THIS POLICY</w:t>
      </w:r>
    </w:p>
    <w:p w14:paraId="5468F2D2"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The purpose of this policy and its associated procedures is to contribute towards the safeguarding of all children and staff both during and outside of school hours when they are on our site. The ultimate aim is to ensure that all children and staff learn and work in an environment where they are safe and free from harm.</w:t>
      </w:r>
    </w:p>
    <w:p w14:paraId="59383B4D" w14:textId="400C58F2" w:rsidR="00685E90" w:rsidRPr="00584A95" w:rsidRDefault="00584A95" w:rsidP="00685E90">
      <w:pPr>
        <w:rPr>
          <w:rFonts w:ascii="Perpetua" w:hAnsi="Perpetua" w:cs="Arial"/>
          <w:b/>
          <w:sz w:val="20"/>
          <w:szCs w:val="20"/>
          <w:lang w:eastAsia="en-GB"/>
        </w:rPr>
      </w:pPr>
      <w:r w:rsidRPr="00584A95">
        <w:rPr>
          <w:rFonts w:ascii="Perpetua" w:hAnsi="Perpetua" w:cs="Arial"/>
          <w:b/>
          <w:sz w:val="20"/>
          <w:szCs w:val="20"/>
          <w:lang w:eastAsia="en-GB"/>
        </w:rPr>
        <w:t>THE OBJECTIVES OF THIS POLICY</w:t>
      </w:r>
    </w:p>
    <w:p w14:paraId="5D47F115"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The key objectives of this policy is to have in place a clear protocol and procedure for the admittance of external visitors to the school which is understood by all staff, governors, visitors and parents/carers and conforms to child protection guidelines and</w:t>
      </w:r>
      <w:r w:rsidRPr="00584A95">
        <w:rPr>
          <w:rFonts w:ascii="Perpetua" w:hAnsi="Perpetua" w:cs="Arial"/>
          <w:i/>
          <w:iCs/>
          <w:sz w:val="24"/>
          <w:szCs w:val="24"/>
          <w:lang w:eastAsia="en-GB"/>
        </w:rPr>
        <w:t> </w:t>
      </w:r>
      <w:r w:rsidRPr="00584A95">
        <w:rPr>
          <w:rFonts w:ascii="Perpetua" w:hAnsi="Perpetua" w:cs="Arial"/>
          <w:sz w:val="24"/>
          <w:szCs w:val="24"/>
          <w:lang w:eastAsia="en-GB"/>
        </w:rPr>
        <w:t>prevents unsuitable people from working with or accessing children</w:t>
      </w:r>
      <w:r w:rsidRPr="00584A95">
        <w:rPr>
          <w:rFonts w:ascii="Perpetua" w:hAnsi="Perpetua" w:cs="Arial"/>
          <w:i/>
          <w:iCs/>
          <w:sz w:val="24"/>
          <w:szCs w:val="24"/>
          <w:lang w:eastAsia="en-GB"/>
        </w:rPr>
        <w:t> </w:t>
      </w:r>
      <w:r w:rsidRPr="00584A95">
        <w:rPr>
          <w:rFonts w:ascii="Perpetua" w:hAnsi="Perpetua" w:cs="Arial"/>
          <w:sz w:val="24"/>
          <w:szCs w:val="24"/>
          <w:lang w:eastAsia="en-GB"/>
        </w:rPr>
        <w:t>and young persons in the school setting.</w:t>
      </w:r>
    </w:p>
    <w:p w14:paraId="2BF892FD"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We have responsibility for the safety and well-being of all of our children anywhere on the school site, during normal school hours, during after school activities and on school organised (and supervised) off-site activities. This policy applies to:</w:t>
      </w:r>
    </w:p>
    <w:p w14:paraId="7A2BBE03"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All teaching and non-teaching staff employed by the school</w:t>
      </w:r>
    </w:p>
    <w:p w14:paraId="7B256B94"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All external visitors entering the school site during the school day or for after school activities (including externa speakers, sports coaches etc)</w:t>
      </w:r>
    </w:p>
    <w:p w14:paraId="659CFB95" w14:textId="457A7498"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Governors</w:t>
      </w:r>
      <w:r w:rsidR="001577B7">
        <w:rPr>
          <w:rFonts w:ascii="Perpetua" w:hAnsi="Perpetua" w:cs="Arial"/>
          <w:sz w:val="24"/>
          <w:szCs w:val="24"/>
          <w:lang w:eastAsia="en-GB"/>
        </w:rPr>
        <w:t>/trustees</w:t>
      </w:r>
    </w:p>
    <w:p w14:paraId="526C75D8"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Parents/carers</w:t>
      </w:r>
    </w:p>
    <w:p w14:paraId="25F1BCD5"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Volunteers</w:t>
      </w:r>
    </w:p>
    <w:p w14:paraId="45E5F74B"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Children</w:t>
      </w:r>
    </w:p>
    <w:p w14:paraId="224CCFC4"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Building &amp; Maintenance Contractors</w:t>
      </w:r>
    </w:p>
    <w:p w14:paraId="77CB4BAC"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Protocol and Procedures</w:t>
      </w:r>
    </w:p>
    <w:p w14:paraId="4D22EB89" w14:textId="77777777" w:rsidR="00685E90" w:rsidRPr="00584A95" w:rsidRDefault="00685E90" w:rsidP="00584A95">
      <w:pPr>
        <w:pStyle w:val="ListParagraph"/>
        <w:numPr>
          <w:ilvl w:val="0"/>
          <w:numId w:val="5"/>
        </w:numPr>
        <w:rPr>
          <w:rFonts w:ascii="Perpetua" w:hAnsi="Perpetua" w:cs="Arial"/>
          <w:sz w:val="24"/>
          <w:szCs w:val="24"/>
          <w:lang w:eastAsia="en-GB"/>
        </w:rPr>
      </w:pPr>
      <w:r w:rsidRPr="00584A95">
        <w:rPr>
          <w:rFonts w:ascii="Perpetua" w:hAnsi="Perpetua" w:cs="Arial"/>
          <w:sz w:val="24"/>
          <w:szCs w:val="24"/>
          <w:lang w:eastAsia="en-GB"/>
        </w:rPr>
        <w:t>Visitors Invited to the School</w:t>
      </w:r>
    </w:p>
    <w:p w14:paraId="4FB2CFE5" w14:textId="40D986D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Before a visitor is invited to the school, both the Headteacher and Deputy Headteacher are informed, with a clear explanation as to the relevance, purpose date and time of the visit</w:t>
      </w:r>
      <w:r w:rsidR="00A95EE2">
        <w:rPr>
          <w:rFonts w:ascii="Perpetua" w:hAnsi="Perpetua" w:cs="Arial"/>
          <w:sz w:val="24"/>
          <w:szCs w:val="24"/>
          <w:lang w:eastAsia="en-GB"/>
        </w:rPr>
        <w:t>.</w:t>
      </w:r>
      <w:r w:rsidRPr="00584A95">
        <w:rPr>
          <w:rFonts w:ascii="Perpetua" w:hAnsi="Perpetua" w:cs="Arial"/>
          <w:sz w:val="24"/>
          <w:szCs w:val="24"/>
          <w:lang w:eastAsia="en-GB"/>
        </w:rPr>
        <w:t xml:space="preserve"> Permission must be granted by the Headteacher before a visitor is asked to come into school.</w:t>
      </w:r>
    </w:p>
    <w:p w14:paraId="19DE57F7" w14:textId="7416C44A"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Formal visitors representing the LA, businesses, contractors, outside agencies etc are required to present formal identification</w:t>
      </w:r>
      <w:r w:rsidR="00A95EE2">
        <w:rPr>
          <w:rFonts w:ascii="Perpetua" w:hAnsi="Perpetua" w:cs="Arial"/>
          <w:sz w:val="24"/>
          <w:szCs w:val="24"/>
          <w:lang w:eastAsia="en-GB"/>
        </w:rPr>
        <w:t>.</w:t>
      </w:r>
    </w:p>
    <w:p w14:paraId="01E1550F" w14:textId="77777777" w:rsidR="00685E90" w:rsidRPr="00A95EE2" w:rsidRDefault="00685E90" w:rsidP="00A95EE2">
      <w:pPr>
        <w:pStyle w:val="ListParagraph"/>
        <w:numPr>
          <w:ilvl w:val="0"/>
          <w:numId w:val="7"/>
        </w:numPr>
        <w:rPr>
          <w:rFonts w:ascii="Perpetua" w:hAnsi="Perpetua" w:cs="Arial"/>
          <w:sz w:val="24"/>
          <w:szCs w:val="24"/>
          <w:lang w:eastAsia="en-GB"/>
        </w:rPr>
      </w:pPr>
      <w:r w:rsidRPr="00A95EE2">
        <w:rPr>
          <w:rFonts w:ascii="Perpetua" w:hAnsi="Perpetua" w:cs="Arial"/>
          <w:sz w:val="24"/>
          <w:szCs w:val="24"/>
          <w:lang w:eastAsia="en-GB"/>
        </w:rPr>
        <w:t>All visitors enter the school building through the main door and report to Administration staff</w:t>
      </w:r>
    </w:p>
    <w:p w14:paraId="3C88C803" w14:textId="77777777" w:rsidR="00685E90" w:rsidRPr="00A95EE2" w:rsidRDefault="00685E90" w:rsidP="00A95EE2">
      <w:pPr>
        <w:pStyle w:val="ListParagraph"/>
        <w:numPr>
          <w:ilvl w:val="0"/>
          <w:numId w:val="7"/>
        </w:numPr>
        <w:rPr>
          <w:rFonts w:ascii="Perpetua" w:hAnsi="Perpetua" w:cs="Arial"/>
          <w:sz w:val="24"/>
          <w:szCs w:val="24"/>
          <w:lang w:eastAsia="en-GB"/>
        </w:rPr>
      </w:pPr>
      <w:r w:rsidRPr="00A95EE2">
        <w:rPr>
          <w:rFonts w:ascii="Perpetua" w:hAnsi="Perpetua" w:cs="Arial"/>
          <w:sz w:val="24"/>
          <w:szCs w:val="24"/>
          <w:lang w:eastAsia="en-GB"/>
        </w:rPr>
        <w:t>All visitors must state the purpose of their visit and who has invited them or who they wish to see. They should be ready to produce formal identification</w:t>
      </w:r>
    </w:p>
    <w:p w14:paraId="666DF155" w14:textId="77777777" w:rsidR="00685E90" w:rsidRPr="00A95EE2" w:rsidRDefault="00685E90" w:rsidP="00A95EE2">
      <w:pPr>
        <w:pStyle w:val="ListParagraph"/>
        <w:numPr>
          <w:ilvl w:val="0"/>
          <w:numId w:val="7"/>
        </w:numPr>
        <w:rPr>
          <w:rFonts w:ascii="Perpetua" w:hAnsi="Perpetua" w:cs="Arial"/>
          <w:sz w:val="24"/>
          <w:szCs w:val="24"/>
          <w:lang w:eastAsia="en-GB"/>
        </w:rPr>
      </w:pPr>
      <w:r w:rsidRPr="00A95EE2">
        <w:rPr>
          <w:rFonts w:ascii="Perpetua" w:hAnsi="Perpetua" w:cs="Arial"/>
          <w:sz w:val="24"/>
          <w:szCs w:val="24"/>
          <w:lang w:eastAsia="en-GB"/>
        </w:rPr>
        <w:t>All visitors are required to sign the Visitors Record Book which is kept in reception at all times</w:t>
      </w:r>
    </w:p>
    <w:p w14:paraId="22D03D58" w14:textId="77777777" w:rsidR="00685E90" w:rsidRPr="00A95EE2" w:rsidRDefault="00685E90" w:rsidP="00A95EE2">
      <w:pPr>
        <w:pStyle w:val="ListParagraph"/>
        <w:numPr>
          <w:ilvl w:val="0"/>
          <w:numId w:val="7"/>
        </w:numPr>
        <w:rPr>
          <w:rFonts w:ascii="Perpetua" w:hAnsi="Perpetua" w:cs="Arial"/>
          <w:sz w:val="24"/>
          <w:szCs w:val="24"/>
          <w:lang w:eastAsia="en-GB"/>
        </w:rPr>
      </w:pPr>
      <w:r w:rsidRPr="00A95EE2">
        <w:rPr>
          <w:rFonts w:ascii="Perpetua" w:hAnsi="Perpetua" w:cs="Arial"/>
          <w:sz w:val="24"/>
          <w:szCs w:val="24"/>
          <w:lang w:eastAsia="en-GB"/>
        </w:rPr>
        <w:t>All visitors are required to wear an identification badge</w:t>
      </w:r>
    </w:p>
    <w:p w14:paraId="29CE2F4A" w14:textId="77777777" w:rsidR="00685E90" w:rsidRPr="00A95EE2" w:rsidRDefault="00685E90" w:rsidP="00A95EE2">
      <w:pPr>
        <w:pStyle w:val="ListParagraph"/>
        <w:numPr>
          <w:ilvl w:val="0"/>
          <w:numId w:val="7"/>
        </w:numPr>
        <w:rPr>
          <w:rFonts w:ascii="Perpetua" w:hAnsi="Perpetua" w:cs="Arial"/>
          <w:sz w:val="24"/>
          <w:szCs w:val="24"/>
          <w:lang w:eastAsia="en-GB"/>
        </w:rPr>
      </w:pPr>
      <w:r w:rsidRPr="00A95EE2">
        <w:rPr>
          <w:rFonts w:ascii="Perpetua" w:hAnsi="Perpetua" w:cs="Arial"/>
          <w:sz w:val="24"/>
          <w:szCs w:val="24"/>
          <w:lang w:eastAsia="en-GB"/>
        </w:rPr>
        <w:t>All visitors are given/shown a copy of the Visitor Information Leaflet detailing information about emergency evacuations procedures and protocol</w:t>
      </w:r>
    </w:p>
    <w:p w14:paraId="65F8E6F3"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lastRenderedPageBreak/>
        <w:t>Visitors are escorted to their point of contact OR their point of contact will be asked to come to reception to receive the visitor. The contact will then be responsible for them while they are on site.</w:t>
      </w:r>
    </w:p>
    <w:p w14:paraId="18C0D38B"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On departing, visitors leave via reception and:</w:t>
      </w:r>
    </w:p>
    <w:p w14:paraId="3880381D" w14:textId="77777777" w:rsidR="00685E90" w:rsidRPr="00A95EE2" w:rsidRDefault="00685E90" w:rsidP="00A95EE2">
      <w:pPr>
        <w:pStyle w:val="ListParagraph"/>
        <w:numPr>
          <w:ilvl w:val="0"/>
          <w:numId w:val="8"/>
        </w:numPr>
        <w:rPr>
          <w:rFonts w:ascii="Perpetua" w:hAnsi="Perpetua" w:cs="Arial"/>
          <w:sz w:val="24"/>
          <w:szCs w:val="24"/>
          <w:lang w:eastAsia="en-GB"/>
        </w:rPr>
      </w:pPr>
      <w:r w:rsidRPr="00A95EE2">
        <w:rPr>
          <w:rFonts w:ascii="Perpetua" w:hAnsi="Perpetua" w:cs="Arial"/>
          <w:sz w:val="24"/>
          <w:szCs w:val="24"/>
          <w:lang w:eastAsia="en-GB"/>
        </w:rPr>
        <w:t>Enter their departure time in the Visitors Record Book alongside their arrival entry</w:t>
      </w:r>
    </w:p>
    <w:p w14:paraId="29F5885A" w14:textId="77777777" w:rsidR="00685E90" w:rsidRPr="00A95EE2" w:rsidRDefault="00685E90" w:rsidP="00A95EE2">
      <w:pPr>
        <w:pStyle w:val="ListParagraph"/>
        <w:numPr>
          <w:ilvl w:val="0"/>
          <w:numId w:val="8"/>
        </w:numPr>
        <w:rPr>
          <w:rFonts w:ascii="Perpetua" w:hAnsi="Perpetua" w:cs="Arial"/>
          <w:sz w:val="24"/>
          <w:szCs w:val="24"/>
          <w:lang w:eastAsia="en-GB"/>
        </w:rPr>
      </w:pPr>
      <w:r w:rsidRPr="00A95EE2">
        <w:rPr>
          <w:rFonts w:ascii="Perpetua" w:hAnsi="Perpetua" w:cs="Arial"/>
          <w:sz w:val="24"/>
          <w:szCs w:val="24"/>
          <w:lang w:eastAsia="en-GB"/>
        </w:rPr>
        <w:t>Return the identification badge to reception</w:t>
      </w:r>
    </w:p>
    <w:p w14:paraId="36EF6CBA" w14:textId="77777777" w:rsidR="00A95EE2" w:rsidRDefault="00584A95" w:rsidP="00A95EE2">
      <w:pPr>
        <w:spacing w:after="0"/>
        <w:rPr>
          <w:rFonts w:ascii="Perpetua" w:hAnsi="Perpetua" w:cs="Arial"/>
          <w:b/>
          <w:sz w:val="20"/>
          <w:szCs w:val="20"/>
          <w:lang w:eastAsia="en-GB"/>
        </w:rPr>
      </w:pPr>
      <w:r w:rsidRPr="00584A95">
        <w:rPr>
          <w:rFonts w:ascii="Perpetua" w:hAnsi="Perpetua" w:cs="Arial"/>
          <w:b/>
          <w:sz w:val="20"/>
          <w:szCs w:val="20"/>
          <w:lang w:eastAsia="en-GB"/>
        </w:rPr>
        <w:t>UNKNOWN/UNINVITED VISITORS TO THE SCHOOL</w:t>
      </w:r>
    </w:p>
    <w:p w14:paraId="0AF9E734" w14:textId="6D3C21F4" w:rsidR="00685E90" w:rsidRPr="00A95EE2" w:rsidRDefault="00685E90" w:rsidP="00685E90">
      <w:pPr>
        <w:rPr>
          <w:rFonts w:ascii="Perpetua" w:hAnsi="Perpetua" w:cs="Arial"/>
          <w:b/>
          <w:sz w:val="20"/>
          <w:szCs w:val="20"/>
          <w:lang w:eastAsia="en-GB"/>
        </w:rPr>
      </w:pPr>
      <w:r w:rsidRPr="00584A95">
        <w:rPr>
          <w:rFonts w:ascii="Perpetua" w:hAnsi="Perpetua" w:cs="Arial"/>
          <w:sz w:val="24"/>
          <w:szCs w:val="24"/>
          <w:lang w:eastAsia="en-GB"/>
        </w:rPr>
        <w:t>Any visitor to the school site who is not wearing an identity badge is challenged politely to enquire who they are and their business on the school site. They should then be escorted to reception to sign the visitors’ book and be issued with an identity badge. The above procedures then apply.</w:t>
      </w:r>
    </w:p>
    <w:p w14:paraId="30277A00"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In the event that the visitor refuses to comply, they are asked to leave the site immediately and an ER call is made if necessary. The Headteacher/Deputy Headteacher (or Senior Leader if neither is available) will consider the situation and decide if it is necessary to inform the police.</w:t>
      </w:r>
    </w:p>
    <w:p w14:paraId="7580301B"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If an unknown/uninvited visitor becomes abusive or aggressive, an ER call is made and they will be asked to leave the site immediately and warned that if they fail to leave the school grounds, police assistance will be called for.</w:t>
      </w:r>
    </w:p>
    <w:p w14:paraId="51C28168" w14:textId="35166847" w:rsidR="00685E90" w:rsidRPr="00584A95" w:rsidRDefault="00584A95" w:rsidP="00A95EE2">
      <w:pPr>
        <w:spacing w:after="0"/>
        <w:rPr>
          <w:rFonts w:ascii="Perpetua" w:hAnsi="Perpetua" w:cs="Arial"/>
          <w:b/>
          <w:sz w:val="20"/>
          <w:szCs w:val="20"/>
          <w:lang w:eastAsia="en-GB"/>
        </w:rPr>
      </w:pPr>
      <w:r w:rsidRPr="00584A95">
        <w:rPr>
          <w:rFonts w:ascii="Perpetua" w:hAnsi="Perpetua" w:cs="Arial"/>
          <w:b/>
          <w:sz w:val="20"/>
          <w:szCs w:val="20"/>
          <w:lang w:eastAsia="en-GB"/>
        </w:rPr>
        <w:t>GOVERNORS AND VOLUNTEERS</w:t>
      </w:r>
    </w:p>
    <w:p w14:paraId="2DEB4787"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All governors and volunteers are required to have an enhanced DBS.</w:t>
      </w:r>
    </w:p>
    <w:p w14:paraId="3623CA3B"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New governors are made aware of this policy and are expected to become familiar with its procedures as part of their induction. This is the responsibility of the Headteacher and the Chair of Governors.</w:t>
      </w:r>
    </w:p>
    <w:p w14:paraId="1611F827"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New volunteers will be asked to comply with this policy by staff they first report to when coming into school for an activity or class supporting role.</w:t>
      </w:r>
    </w:p>
    <w:p w14:paraId="4A69A4EB" w14:textId="77777777" w:rsidR="00685E90" w:rsidRPr="00584A95" w:rsidRDefault="00685E90" w:rsidP="00685E90">
      <w:pPr>
        <w:rPr>
          <w:rFonts w:ascii="Perpetua" w:hAnsi="Perpetua" w:cs="Arial"/>
          <w:b/>
          <w:sz w:val="20"/>
          <w:szCs w:val="20"/>
          <w:lang w:eastAsia="en-GB"/>
        </w:rPr>
      </w:pPr>
      <w:r w:rsidRPr="00584A95">
        <w:rPr>
          <w:rFonts w:ascii="Perpetua" w:hAnsi="Perpetua" w:cs="Arial"/>
          <w:b/>
          <w:sz w:val="20"/>
          <w:szCs w:val="20"/>
          <w:lang w:eastAsia="en-GB"/>
        </w:rPr>
        <w:t>CPD</w:t>
      </w:r>
    </w:p>
    <w:p w14:paraId="51E8A06A"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As part of their induction, new staff are made conversant with this policy for visitors and asked to ensure compliance with its procedures at all times.</w:t>
      </w:r>
    </w:p>
    <w:p w14:paraId="645EE290" w14:textId="40FA0542" w:rsidR="00685E90" w:rsidRPr="00584A95" w:rsidRDefault="00584A95" w:rsidP="00685E90">
      <w:pPr>
        <w:rPr>
          <w:rFonts w:ascii="Perpetua" w:hAnsi="Perpetua" w:cs="Arial"/>
          <w:b/>
          <w:sz w:val="20"/>
          <w:szCs w:val="20"/>
          <w:lang w:eastAsia="en-GB"/>
        </w:rPr>
      </w:pPr>
      <w:r w:rsidRPr="00584A95">
        <w:rPr>
          <w:rFonts w:ascii="Perpetua" w:hAnsi="Perpetua" w:cs="Arial"/>
          <w:b/>
          <w:sz w:val="20"/>
          <w:szCs w:val="20"/>
          <w:lang w:eastAsia="en-GB"/>
        </w:rPr>
        <w:t>LINKED POLICIES</w:t>
      </w:r>
    </w:p>
    <w:p w14:paraId="2726A946" w14:textId="77777777" w:rsidR="00685E90"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This policy should be read in conjunction with other related school policies: including:</w:t>
      </w:r>
    </w:p>
    <w:p w14:paraId="113898AE" w14:textId="77777777" w:rsidR="00685E90" w:rsidRPr="00584A95" w:rsidRDefault="00685E90" w:rsidP="00584A95">
      <w:pPr>
        <w:pStyle w:val="ListParagraph"/>
        <w:numPr>
          <w:ilvl w:val="0"/>
          <w:numId w:val="6"/>
        </w:numPr>
        <w:rPr>
          <w:rFonts w:ascii="Perpetua" w:hAnsi="Perpetua" w:cs="Arial"/>
          <w:sz w:val="24"/>
          <w:szCs w:val="24"/>
          <w:lang w:eastAsia="en-GB"/>
        </w:rPr>
      </w:pPr>
      <w:r w:rsidRPr="00584A95">
        <w:rPr>
          <w:rFonts w:ascii="Perpetua" w:hAnsi="Perpetua" w:cs="Arial"/>
          <w:sz w:val="24"/>
          <w:szCs w:val="24"/>
          <w:lang w:eastAsia="en-GB"/>
        </w:rPr>
        <w:t>Child Protection</w:t>
      </w:r>
    </w:p>
    <w:p w14:paraId="4346122B" w14:textId="77777777" w:rsidR="00685E90" w:rsidRPr="00584A95" w:rsidRDefault="00685E90" w:rsidP="00584A95">
      <w:pPr>
        <w:pStyle w:val="ListParagraph"/>
        <w:numPr>
          <w:ilvl w:val="0"/>
          <w:numId w:val="6"/>
        </w:numPr>
        <w:rPr>
          <w:rFonts w:ascii="Perpetua" w:hAnsi="Perpetua" w:cs="Arial"/>
          <w:sz w:val="24"/>
          <w:szCs w:val="24"/>
          <w:lang w:eastAsia="en-GB"/>
        </w:rPr>
      </w:pPr>
      <w:r w:rsidRPr="00584A95">
        <w:rPr>
          <w:rFonts w:ascii="Perpetua" w:hAnsi="Perpetua" w:cs="Arial"/>
          <w:sz w:val="24"/>
          <w:szCs w:val="24"/>
          <w:lang w:eastAsia="en-GB"/>
        </w:rPr>
        <w:t>Safeguarding</w:t>
      </w:r>
    </w:p>
    <w:p w14:paraId="7233D5FB" w14:textId="77777777" w:rsidR="00685E90" w:rsidRPr="00584A95" w:rsidRDefault="00685E90" w:rsidP="00584A95">
      <w:pPr>
        <w:pStyle w:val="ListParagraph"/>
        <w:numPr>
          <w:ilvl w:val="0"/>
          <w:numId w:val="6"/>
        </w:numPr>
        <w:rPr>
          <w:rFonts w:ascii="Perpetua" w:hAnsi="Perpetua" w:cs="Arial"/>
          <w:sz w:val="24"/>
          <w:szCs w:val="24"/>
          <w:lang w:eastAsia="en-GB"/>
        </w:rPr>
      </w:pPr>
      <w:r w:rsidRPr="00584A95">
        <w:rPr>
          <w:rFonts w:ascii="Perpetua" w:hAnsi="Perpetua" w:cs="Arial"/>
          <w:sz w:val="24"/>
          <w:szCs w:val="24"/>
          <w:lang w:eastAsia="en-GB"/>
        </w:rPr>
        <w:t>Confidentiality</w:t>
      </w:r>
    </w:p>
    <w:p w14:paraId="49A500A2" w14:textId="77777777" w:rsidR="00685E90" w:rsidRPr="00584A95" w:rsidRDefault="00685E90" w:rsidP="00584A95">
      <w:pPr>
        <w:pStyle w:val="ListParagraph"/>
        <w:numPr>
          <w:ilvl w:val="0"/>
          <w:numId w:val="6"/>
        </w:numPr>
        <w:rPr>
          <w:rFonts w:ascii="Perpetua" w:hAnsi="Perpetua" w:cs="Arial"/>
          <w:sz w:val="24"/>
          <w:szCs w:val="24"/>
          <w:lang w:eastAsia="en-GB"/>
        </w:rPr>
      </w:pPr>
      <w:r w:rsidRPr="00584A95">
        <w:rPr>
          <w:rFonts w:ascii="Perpetua" w:hAnsi="Perpetua" w:cs="Arial"/>
          <w:sz w:val="24"/>
          <w:szCs w:val="24"/>
          <w:lang w:eastAsia="en-GB"/>
        </w:rPr>
        <w:t>Healthy and Safety</w:t>
      </w:r>
    </w:p>
    <w:p w14:paraId="5A1629D5" w14:textId="77777777" w:rsidR="00685E90" w:rsidRPr="00584A95" w:rsidRDefault="00685E90" w:rsidP="00584A95">
      <w:pPr>
        <w:pStyle w:val="ListParagraph"/>
        <w:numPr>
          <w:ilvl w:val="0"/>
          <w:numId w:val="6"/>
        </w:numPr>
        <w:rPr>
          <w:rFonts w:ascii="Perpetua" w:hAnsi="Perpetua" w:cs="Arial"/>
          <w:sz w:val="24"/>
          <w:szCs w:val="24"/>
          <w:lang w:eastAsia="en-GB"/>
        </w:rPr>
      </w:pPr>
      <w:r w:rsidRPr="00584A95">
        <w:rPr>
          <w:rFonts w:ascii="Perpetua" w:hAnsi="Perpetua" w:cs="Arial"/>
          <w:sz w:val="24"/>
          <w:szCs w:val="24"/>
          <w:lang w:eastAsia="en-GB"/>
        </w:rPr>
        <w:t>Fire Safety</w:t>
      </w:r>
    </w:p>
    <w:p w14:paraId="1F4FA832" w14:textId="7360DEF0" w:rsidR="00685E90" w:rsidRPr="00584A95" w:rsidRDefault="00584A95" w:rsidP="00685E90">
      <w:pPr>
        <w:rPr>
          <w:rFonts w:ascii="Perpetua" w:hAnsi="Perpetua" w:cs="Arial"/>
          <w:b/>
          <w:sz w:val="20"/>
          <w:szCs w:val="20"/>
          <w:lang w:eastAsia="en-GB"/>
        </w:rPr>
      </w:pPr>
      <w:r w:rsidRPr="00584A95">
        <w:rPr>
          <w:rFonts w:ascii="Perpetua" w:hAnsi="Perpetua" w:cs="Arial"/>
          <w:b/>
          <w:sz w:val="20"/>
          <w:szCs w:val="20"/>
          <w:lang w:eastAsia="en-GB"/>
        </w:rPr>
        <w:t>MONITORING AND EVALUATION</w:t>
      </w:r>
    </w:p>
    <w:p w14:paraId="32675FCC" w14:textId="6FF09BF5" w:rsidR="008A6C72" w:rsidRPr="00584A95" w:rsidRDefault="00685E90" w:rsidP="00685E90">
      <w:pPr>
        <w:rPr>
          <w:rFonts w:ascii="Perpetua" w:hAnsi="Perpetua" w:cs="Arial"/>
          <w:sz w:val="24"/>
          <w:szCs w:val="24"/>
          <w:lang w:eastAsia="en-GB"/>
        </w:rPr>
      </w:pPr>
      <w:r w:rsidRPr="00584A95">
        <w:rPr>
          <w:rFonts w:ascii="Perpetua" w:hAnsi="Perpetua" w:cs="Arial"/>
          <w:sz w:val="24"/>
          <w:szCs w:val="24"/>
          <w:lang w:eastAsia="en-GB"/>
        </w:rPr>
        <w:t>The suitability of all visitors invited into school to work with our children is assessed at the end of their visit and a decision made as to whether they may be asked to visit the school in fu</w:t>
      </w:r>
      <w:r w:rsidR="002F397E">
        <w:rPr>
          <w:rFonts w:ascii="Perpetua" w:hAnsi="Perpetua" w:cs="Arial"/>
          <w:sz w:val="24"/>
          <w:szCs w:val="24"/>
          <w:lang w:eastAsia="en-GB"/>
        </w:rPr>
        <w:t>ture</w:t>
      </w:r>
    </w:p>
    <w:sectPr w:rsidR="008A6C72" w:rsidRPr="00584A95" w:rsidSect="00D664BE">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A089" w14:textId="77777777" w:rsidR="00C63A17" w:rsidRDefault="00C63A17" w:rsidP="00D30C40">
      <w:pPr>
        <w:spacing w:after="0" w:line="240" w:lineRule="auto"/>
      </w:pPr>
      <w:r>
        <w:separator/>
      </w:r>
    </w:p>
  </w:endnote>
  <w:endnote w:type="continuationSeparator" w:id="0">
    <w:p w14:paraId="265204D4" w14:textId="77777777" w:rsidR="00C63A17" w:rsidRDefault="00C63A17" w:rsidP="00D3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erpet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74A7A" w14:textId="77777777" w:rsidR="00C63A17" w:rsidRDefault="00C63A17" w:rsidP="00D30C40">
      <w:pPr>
        <w:spacing w:after="0" w:line="240" w:lineRule="auto"/>
      </w:pPr>
      <w:r>
        <w:separator/>
      </w:r>
    </w:p>
  </w:footnote>
  <w:footnote w:type="continuationSeparator" w:id="0">
    <w:p w14:paraId="52EF7B2D" w14:textId="77777777" w:rsidR="00C63A17" w:rsidRDefault="00C63A17" w:rsidP="00D30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32E8"/>
    <w:multiLevelType w:val="hybridMultilevel"/>
    <w:tmpl w:val="58A66BA2"/>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563CF"/>
    <w:multiLevelType w:val="multilevel"/>
    <w:tmpl w:val="923A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933F1"/>
    <w:multiLevelType w:val="multilevel"/>
    <w:tmpl w:val="A586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90F10"/>
    <w:multiLevelType w:val="hybridMultilevel"/>
    <w:tmpl w:val="2C948928"/>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9552C"/>
    <w:multiLevelType w:val="hybridMultilevel"/>
    <w:tmpl w:val="A088F670"/>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54772"/>
    <w:multiLevelType w:val="hybridMultilevel"/>
    <w:tmpl w:val="755CB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A72448"/>
    <w:multiLevelType w:val="hybridMultilevel"/>
    <w:tmpl w:val="1850F2B0"/>
    <w:lvl w:ilvl="0" w:tplc="8800EB18">
      <w:numFmt w:val="bullet"/>
      <w:lvlText w:val="•"/>
      <w:lvlJc w:val="left"/>
      <w:pPr>
        <w:ind w:left="720" w:hanging="360"/>
      </w:pPr>
      <w:rPr>
        <w:rFonts w:ascii="Perpetua" w:eastAsiaTheme="minorHAnsi" w:hAnsi="Perpetu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908FB"/>
    <w:multiLevelType w:val="multilevel"/>
    <w:tmpl w:val="549E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6B54A3"/>
    <w:multiLevelType w:val="multilevel"/>
    <w:tmpl w:val="6382C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1739011">
    <w:abstractNumId w:val="2"/>
  </w:num>
  <w:num w:numId="2" w16cid:durableId="1526675596">
    <w:abstractNumId w:val="1"/>
  </w:num>
  <w:num w:numId="3" w16cid:durableId="2066173954">
    <w:abstractNumId w:val="8"/>
  </w:num>
  <w:num w:numId="4" w16cid:durableId="461777605">
    <w:abstractNumId w:val="7"/>
  </w:num>
  <w:num w:numId="5" w16cid:durableId="114443535">
    <w:abstractNumId w:val="4"/>
  </w:num>
  <w:num w:numId="6" w16cid:durableId="8601265">
    <w:abstractNumId w:val="6"/>
  </w:num>
  <w:num w:numId="7" w16cid:durableId="229925277">
    <w:abstractNumId w:val="0"/>
  </w:num>
  <w:num w:numId="8" w16cid:durableId="907958351">
    <w:abstractNumId w:val="3"/>
  </w:num>
  <w:num w:numId="9" w16cid:durableId="11424285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E90"/>
    <w:rsid w:val="00040E9F"/>
    <w:rsid w:val="000876B8"/>
    <w:rsid w:val="001557B6"/>
    <w:rsid w:val="001577B7"/>
    <w:rsid w:val="00164A28"/>
    <w:rsid w:val="002B271E"/>
    <w:rsid w:val="002F397E"/>
    <w:rsid w:val="003B394D"/>
    <w:rsid w:val="00417546"/>
    <w:rsid w:val="00424491"/>
    <w:rsid w:val="005310EB"/>
    <w:rsid w:val="00584A95"/>
    <w:rsid w:val="006611B4"/>
    <w:rsid w:val="00685E90"/>
    <w:rsid w:val="007854A2"/>
    <w:rsid w:val="007E6B5F"/>
    <w:rsid w:val="008258E8"/>
    <w:rsid w:val="008949C0"/>
    <w:rsid w:val="008A6C72"/>
    <w:rsid w:val="008C5CBA"/>
    <w:rsid w:val="009C6A2B"/>
    <w:rsid w:val="00A95EE2"/>
    <w:rsid w:val="00AF5CCB"/>
    <w:rsid w:val="00BE4CC4"/>
    <w:rsid w:val="00C5394E"/>
    <w:rsid w:val="00C63A17"/>
    <w:rsid w:val="00D20A15"/>
    <w:rsid w:val="00D30C40"/>
    <w:rsid w:val="00D664BE"/>
    <w:rsid w:val="00E744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31BA7"/>
  <w15:docId w15:val="{25794C1D-6063-DB40-B4D8-0785DAD8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C40"/>
  </w:style>
  <w:style w:type="paragraph" w:styleId="Footer">
    <w:name w:val="footer"/>
    <w:basedOn w:val="Normal"/>
    <w:link w:val="FooterChar"/>
    <w:uiPriority w:val="99"/>
    <w:unhideWhenUsed/>
    <w:rsid w:val="00D30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C40"/>
  </w:style>
  <w:style w:type="paragraph" w:styleId="BalloonText">
    <w:name w:val="Balloon Text"/>
    <w:basedOn w:val="Normal"/>
    <w:link w:val="BalloonTextChar"/>
    <w:uiPriority w:val="99"/>
    <w:semiHidden/>
    <w:unhideWhenUsed/>
    <w:rsid w:val="00D30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C40"/>
    <w:rPr>
      <w:rFonts w:ascii="Tahoma" w:hAnsi="Tahoma" w:cs="Tahoma"/>
      <w:sz w:val="16"/>
      <w:szCs w:val="16"/>
    </w:rPr>
  </w:style>
  <w:style w:type="paragraph" w:styleId="ListParagraph">
    <w:name w:val="List Paragraph"/>
    <w:basedOn w:val="Normal"/>
    <w:uiPriority w:val="34"/>
    <w:qFormat/>
    <w:rsid w:val="00584A95"/>
    <w:pPr>
      <w:ind w:left="720"/>
      <w:contextualSpacing/>
    </w:pPr>
  </w:style>
  <w:style w:type="paragraph" w:styleId="Title">
    <w:name w:val="Title"/>
    <w:basedOn w:val="Normal"/>
    <w:next w:val="Normal"/>
    <w:link w:val="TitleChar"/>
    <w:uiPriority w:val="10"/>
    <w:qFormat/>
    <w:rsid w:val="006611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611B4"/>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611B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47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ArifPatel</dc:creator>
  <cp:lastModifiedBy>Farzana Sufi</cp:lastModifiedBy>
  <cp:revision>2</cp:revision>
  <dcterms:created xsi:type="dcterms:W3CDTF">2026-04-28T14:40:00Z</dcterms:created>
  <dcterms:modified xsi:type="dcterms:W3CDTF">2026-04-28T14:40:00Z</dcterms:modified>
</cp:coreProperties>
</file>